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ink/ink1.xml" ContentType="application/inkml+xml"/>
  <Override PartName="/word/ink/ink2.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kern w:val="0"/>
          <w:sz w:val="32"/>
          <w:szCs w:val="32"/>
        </w:rPr>
      </w:pPr>
      <w:r>
        <w:rPr>
          <w:rFonts w:eastAsia="仿宋_GB2312"/>
          <w:kern w:val="0"/>
          <w:sz w:val="32"/>
          <w:szCs w:val="32"/>
        </w:rPr>
        <w:t>附件1：</w:t>
      </w:r>
    </w:p>
    <w:p>
      <w:pPr>
        <w:widowControl/>
        <w:spacing w:line="560" w:lineRule="exact"/>
        <w:jc w:val="center"/>
        <w:rPr>
          <w:rFonts w:eastAsia="华文中宋"/>
          <w:b/>
          <w:bCs/>
          <w:sz w:val="44"/>
          <w:szCs w:val="44"/>
        </w:rPr>
      </w:pPr>
    </w:p>
    <w:p>
      <w:pPr>
        <w:widowControl/>
        <w:spacing w:line="560" w:lineRule="exact"/>
        <w:jc w:val="center"/>
        <w:rPr>
          <w:rFonts w:eastAsia="华文中宋"/>
          <w:b/>
          <w:bCs/>
          <w:sz w:val="44"/>
          <w:szCs w:val="44"/>
        </w:rPr>
      </w:pPr>
      <w:r>
        <w:rPr>
          <w:rFonts w:eastAsia="华文中宋"/>
          <w:b/>
          <w:bCs/>
          <w:sz w:val="44"/>
          <w:szCs w:val="44"/>
        </w:rPr>
        <w:t>宝山区企业骨干人才专项激励办法</w:t>
      </w:r>
    </w:p>
    <w:p>
      <w:pPr>
        <w:widowControl/>
        <w:spacing w:line="560" w:lineRule="exact"/>
        <w:jc w:val="center"/>
        <w:rPr>
          <w:rFonts w:eastAsia="仿宋"/>
          <w:kern w:val="0"/>
          <w:sz w:val="30"/>
          <w:szCs w:val="30"/>
        </w:rPr>
      </w:pPr>
    </w:p>
    <w:p>
      <w:pPr>
        <w:widowControl/>
        <w:spacing w:line="520" w:lineRule="exact"/>
        <w:ind w:firstLine="640" w:firstLineChars="200"/>
        <w:rPr>
          <w:rFonts w:eastAsia="黑体"/>
          <w:kern w:val="0"/>
          <w:sz w:val="32"/>
          <w:szCs w:val="32"/>
        </w:rPr>
      </w:pPr>
      <w:r>
        <w:rPr>
          <w:rFonts w:eastAsia="黑体"/>
          <w:kern w:val="0"/>
          <w:sz w:val="32"/>
          <w:szCs w:val="32"/>
        </w:rPr>
        <w:t>第一条 （目的依据）</w:t>
      </w:r>
    </w:p>
    <w:p>
      <w:pPr>
        <w:widowControl/>
        <w:spacing w:line="520" w:lineRule="exact"/>
        <w:ind w:firstLine="640" w:firstLineChars="200"/>
        <w:rPr>
          <w:rFonts w:eastAsia="仿宋_GB2312"/>
          <w:kern w:val="0"/>
          <w:sz w:val="32"/>
          <w:szCs w:val="32"/>
        </w:rPr>
      </w:pPr>
      <w:r>
        <w:rPr>
          <w:rFonts w:eastAsia="仿宋_GB2312"/>
          <w:kern w:val="0"/>
          <w:sz w:val="32"/>
          <w:szCs w:val="32"/>
        </w:rPr>
        <w:t>为贯彻落实市委、市政府《关于进一步深化人才发展体制机制改革，加快推进具有全球影响力的科技创新中心建设的实施意见》精神，充分调动本区企业骨干人才开拓创新的积极性，根据《宝山区人才发展专项资金使用管理办法》等有关文件规定，结合本区实际，制定本办法。</w:t>
      </w:r>
    </w:p>
    <w:p>
      <w:pPr>
        <w:widowControl/>
        <w:spacing w:line="520" w:lineRule="exact"/>
        <w:ind w:firstLine="640" w:firstLineChars="200"/>
        <w:rPr>
          <w:rFonts w:eastAsia="黑体"/>
          <w:kern w:val="0"/>
          <w:sz w:val="32"/>
          <w:szCs w:val="32"/>
        </w:rPr>
      </w:pPr>
      <w:r>
        <w:rPr>
          <w:rFonts w:eastAsia="黑体"/>
          <w:kern w:val="0"/>
          <w:sz w:val="32"/>
          <w:szCs w:val="32"/>
        </w:rPr>
        <w:t>第二条 （适用范围及条件）</w:t>
      </w:r>
    </w:p>
    <w:p>
      <w:pPr>
        <w:widowControl/>
        <w:spacing w:line="520" w:lineRule="exact"/>
        <w:ind w:firstLine="640" w:firstLineChars="200"/>
        <w:rPr>
          <w:rFonts w:eastAsia="仿宋_GB2312"/>
          <w:kern w:val="0"/>
          <w:sz w:val="32"/>
          <w:szCs w:val="32"/>
        </w:rPr>
      </w:pPr>
      <w:r>
        <w:rPr>
          <w:rFonts w:eastAsia="仿宋_GB2312"/>
          <w:kern w:val="0"/>
          <w:sz w:val="32"/>
          <w:szCs w:val="32"/>
        </w:rPr>
        <w:t>本办法适用于我区企业内核心骨干人才。</w:t>
      </w:r>
    </w:p>
    <w:p>
      <w:pPr>
        <w:widowControl/>
        <w:spacing w:line="520" w:lineRule="exact"/>
        <w:ind w:firstLine="640" w:firstLineChars="200"/>
        <w:rPr>
          <w:rFonts w:eastAsia="仿宋_GB2312"/>
          <w:kern w:val="0"/>
          <w:sz w:val="32"/>
          <w:szCs w:val="32"/>
        </w:rPr>
      </w:pPr>
      <w:r>
        <w:rPr>
          <w:rFonts w:eastAsia="仿宋_GB2312"/>
          <w:kern w:val="0"/>
          <w:sz w:val="32"/>
          <w:szCs w:val="32"/>
        </w:rPr>
        <w:t>（一）企业需满足以下条件：</w:t>
      </w:r>
    </w:p>
    <w:p>
      <w:pPr>
        <w:widowControl/>
        <w:spacing w:line="520" w:lineRule="exact"/>
        <w:ind w:firstLine="640" w:firstLineChars="200"/>
        <w:rPr>
          <w:rFonts w:eastAsia="仿宋_GB2312"/>
          <w:kern w:val="0"/>
          <w:sz w:val="32"/>
          <w:szCs w:val="32"/>
        </w:rPr>
      </w:pPr>
      <w:r>
        <w:rPr>
          <w:rFonts w:eastAsia="仿宋_GB2312"/>
          <w:kern w:val="0"/>
          <w:sz w:val="32"/>
          <w:szCs w:val="32"/>
        </w:rPr>
        <w:t>1、工商注册和税务登记在宝山区域范围内。</w:t>
      </w:r>
    </w:p>
    <w:p>
      <w:pPr>
        <w:widowControl/>
        <w:spacing w:line="520" w:lineRule="exact"/>
        <w:ind w:firstLine="640" w:firstLineChars="200"/>
        <w:rPr>
          <w:rFonts w:eastAsia="仿宋_GB2312"/>
          <w:kern w:val="0"/>
          <w:sz w:val="32"/>
          <w:szCs w:val="32"/>
        </w:rPr>
      </w:pPr>
      <w:r>
        <w:rPr>
          <w:rFonts w:eastAsia="仿宋_GB2312"/>
          <w:kern w:val="0"/>
          <w:sz w:val="32"/>
          <w:szCs w:val="32"/>
        </w:rPr>
        <w:t>2、符合以下任何一项情形：</w:t>
      </w:r>
    </w:p>
    <w:p>
      <w:pPr>
        <w:widowControl/>
        <w:spacing w:line="520" w:lineRule="exact"/>
        <w:ind w:firstLine="640" w:firstLineChars="200"/>
        <w:rPr>
          <w:rFonts w:eastAsia="仿宋_GB2312"/>
          <w:kern w:val="0"/>
          <w:sz w:val="32"/>
          <w:szCs w:val="32"/>
        </w:rPr>
      </w:pPr>
      <w:r>
        <w:rPr>
          <w:rFonts w:eastAsia="仿宋_GB2312"/>
          <w:kern w:val="0"/>
          <w:sz w:val="32"/>
          <w:szCs w:val="32"/>
        </w:rPr>
        <w:t>（1）上一年度区级税收在3000万元及以上的实体型企业；</w:t>
      </w:r>
    </w:p>
    <w:p>
      <w:pPr>
        <w:widowControl/>
        <w:spacing w:line="520" w:lineRule="exact"/>
        <w:ind w:firstLine="640" w:firstLineChars="200"/>
        <w:rPr>
          <w:rFonts w:eastAsia="仿宋_GB2312"/>
          <w:kern w:val="0"/>
          <w:sz w:val="32"/>
          <w:szCs w:val="32"/>
        </w:rPr>
      </w:pPr>
      <w:r>
        <w:rPr>
          <w:rFonts w:eastAsia="仿宋_GB2312"/>
          <w:kern w:val="0"/>
          <w:sz w:val="32"/>
          <w:szCs w:val="32"/>
        </w:rPr>
        <w:t>（2）经认定的跨国公司地区总部、跨国公司总部型机构；</w:t>
      </w:r>
    </w:p>
    <w:p>
      <w:pPr>
        <w:widowControl/>
        <w:spacing w:line="520" w:lineRule="exact"/>
        <w:ind w:firstLine="640" w:firstLineChars="200"/>
        <w:rPr>
          <w:rFonts w:eastAsia="仿宋_GB2312"/>
          <w:kern w:val="0"/>
          <w:sz w:val="32"/>
          <w:szCs w:val="32"/>
        </w:rPr>
      </w:pPr>
      <w:r>
        <w:rPr>
          <w:rFonts w:eastAsia="仿宋_GB2312"/>
          <w:kern w:val="0"/>
          <w:sz w:val="32"/>
          <w:szCs w:val="32"/>
        </w:rPr>
        <w:t>（3）关系区域经济社会重大改革和创新发展、成长性较好，经区人才工作领导小组认定确需重点扶持的其他企业。</w:t>
      </w:r>
    </w:p>
    <w:p>
      <w:pPr>
        <w:widowControl/>
        <w:spacing w:line="520" w:lineRule="exact"/>
        <w:ind w:firstLine="640" w:firstLineChars="200"/>
        <w:rPr>
          <w:rFonts w:eastAsia="仿宋_GB2312"/>
          <w:kern w:val="0"/>
          <w:sz w:val="32"/>
          <w:szCs w:val="32"/>
        </w:rPr>
      </w:pPr>
      <w:r>
        <w:rPr>
          <w:rFonts w:eastAsia="仿宋_GB2312"/>
          <w:kern w:val="0"/>
          <w:sz w:val="32"/>
          <w:szCs w:val="32"/>
        </w:rPr>
        <w:t>3、经所在镇、园区推荐，属区本级企业经区主管部门推荐。</w:t>
      </w:r>
    </w:p>
    <w:p>
      <w:pPr>
        <w:widowControl/>
        <w:spacing w:line="520" w:lineRule="exact"/>
        <w:ind w:firstLine="640" w:firstLineChars="200"/>
        <w:rPr>
          <w:rFonts w:eastAsia="仿宋_GB2312"/>
          <w:kern w:val="0"/>
          <w:sz w:val="32"/>
          <w:szCs w:val="32"/>
        </w:rPr>
      </w:pPr>
      <w:r>
        <w:rPr>
          <w:rFonts w:eastAsia="仿宋_GB2312"/>
          <w:kern w:val="0"/>
          <w:sz w:val="32"/>
          <w:szCs w:val="32"/>
        </w:rPr>
        <w:t>（二）骨干人才还需同时满足下列条件：</w:t>
      </w:r>
    </w:p>
    <w:p>
      <w:pPr>
        <w:widowControl/>
        <w:spacing w:line="520" w:lineRule="exact"/>
        <w:ind w:firstLine="640" w:firstLineChars="200"/>
        <w:rPr>
          <w:rFonts w:eastAsia="仿宋_GB2312"/>
          <w:kern w:val="0"/>
          <w:sz w:val="32"/>
          <w:szCs w:val="32"/>
        </w:rPr>
      </w:pPr>
      <w:r>
        <w:rPr>
          <w:rFonts w:eastAsia="仿宋_GB2312"/>
          <w:kern w:val="0"/>
          <w:sz w:val="32"/>
          <w:szCs w:val="32"/>
        </w:rPr>
        <w:t>1、政治合格、忠于本职、业绩突出，经所在企业认可，并在本企业中担任重要创新管理岗位、创新技术岗位的高级经营管理人才、核心技术骨干或其他紧缺急需人才；</w:t>
      </w:r>
    </w:p>
    <w:p>
      <w:pPr>
        <w:widowControl/>
        <w:spacing w:line="520" w:lineRule="exact"/>
        <w:ind w:firstLine="640" w:firstLineChars="200"/>
        <w:rPr>
          <w:rFonts w:eastAsia="仿宋_GB2312"/>
          <w:kern w:val="0"/>
          <w:sz w:val="32"/>
          <w:szCs w:val="32"/>
        </w:rPr>
      </w:pPr>
      <w:r>
        <w:rPr>
          <w:rFonts w:eastAsia="仿宋_GB2312"/>
          <w:kern w:val="0"/>
          <w:sz w:val="32"/>
          <w:szCs w:val="32"/>
        </w:rPr>
        <w:t>2、与本企业签订3年及以上的劳动合同，按规定缴纳个人所得税，且在本企业已连续缴纳社保6个月及以上；</w:t>
      </w:r>
    </w:p>
    <w:p>
      <w:pPr>
        <w:widowControl/>
        <w:spacing w:line="520" w:lineRule="exact"/>
        <w:ind w:firstLine="640" w:firstLineChars="200"/>
        <w:rPr>
          <w:rFonts w:eastAsia="仿宋_GB2312"/>
          <w:kern w:val="0"/>
          <w:sz w:val="32"/>
          <w:szCs w:val="32"/>
        </w:rPr>
      </w:pPr>
      <w:r>
        <w:rPr>
          <w:rFonts w:eastAsia="仿宋_GB2312"/>
          <w:kern w:val="0"/>
          <w:sz w:val="32"/>
          <w:szCs w:val="32"/>
        </w:rPr>
        <w:t>3、上一年度税前年收入为本市职工年平均工资三倍及以上。</w:t>
      </w:r>
    </w:p>
    <w:p>
      <w:pPr>
        <w:widowControl/>
        <w:spacing w:line="520" w:lineRule="exact"/>
        <w:ind w:firstLine="640" w:firstLineChars="200"/>
        <w:jc w:val="left"/>
        <w:rPr>
          <w:rFonts w:eastAsia="黑体"/>
          <w:kern w:val="0"/>
          <w:sz w:val="32"/>
          <w:szCs w:val="32"/>
        </w:rPr>
      </w:pPr>
      <w:r>
        <w:rPr>
          <w:rFonts w:eastAsia="黑体"/>
          <w:kern w:val="0"/>
          <w:sz w:val="32"/>
          <w:szCs w:val="32"/>
        </w:rPr>
        <w:t>第三条 （资助名额）</w:t>
      </w:r>
    </w:p>
    <w:p>
      <w:pPr>
        <w:widowControl/>
        <w:spacing w:line="520" w:lineRule="exact"/>
        <w:ind w:firstLine="640" w:firstLineChars="200"/>
        <w:rPr>
          <w:rFonts w:eastAsia="仿宋_GB2312"/>
          <w:kern w:val="0"/>
          <w:sz w:val="32"/>
          <w:szCs w:val="32"/>
        </w:rPr>
      </w:pPr>
      <w:r>
        <w:rPr>
          <w:rFonts w:eastAsia="仿宋_GB2312"/>
          <w:kern w:val="0"/>
          <w:sz w:val="32"/>
          <w:szCs w:val="32"/>
        </w:rPr>
        <w:t>根据企业规模、职工税前收入总量确定资助名额，一般每家企业不超过5名；对区域经济社会发展有突出贡献的企业，经所属镇、园区或区主管部门推荐，名额可适当增加，但最多不超过10名。</w:t>
      </w:r>
    </w:p>
    <w:p>
      <w:pPr>
        <w:widowControl/>
        <w:spacing w:line="520" w:lineRule="exact"/>
        <w:ind w:firstLine="640" w:firstLineChars="200"/>
        <w:jc w:val="left"/>
        <w:rPr>
          <w:rFonts w:eastAsia="黑体"/>
          <w:kern w:val="0"/>
          <w:sz w:val="32"/>
          <w:szCs w:val="32"/>
        </w:rPr>
      </w:pPr>
      <w:r>
        <w:rPr>
          <w:rFonts w:eastAsia="黑体"/>
          <w:kern w:val="0"/>
          <w:sz w:val="32"/>
          <w:szCs w:val="32"/>
        </w:rPr>
        <w:t>第四条 （具体标准）</w:t>
      </w:r>
    </w:p>
    <w:p>
      <w:pPr>
        <w:widowControl/>
        <w:spacing w:line="520" w:lineRule="exact"/>
        <w:ind w:firstLine="640" w:firstLineChars="200"/>
        <w:rPr>
          <w:rFonts w:eastAsia="仿宋_GB2312"/>
          <w:kern w:val="0"/>
          <w:sz w:val="32"/>
          <w:szCs w:val="32"/>
        </w:rPr>
      </w:pPr>
      <w:r>
        <w:rPr>
          <w:rFonts w:eastAsia="仿宋_GB2312"/>
          <w:kern w:val="0"/>
          <w:sz w:val="32"/>
          <w:szCs w:val="32"/>
        </w:rPr>
        <w:t xml:space="preserve">对符合条件的企业骨干人才，根据其税前年收入总额情况，按照不同比例给予分段、累进资助，具体标准如下： </w:t>
      </w:r>
    </w:p>
    <w:p>
      <w:pPr>
        <w:widowControl/>
        <w:spacing w:line="520" w:lineRule="exact"/>
        <w:ind w:firstLine="640" w:firstLineChars="200"/>
        <w:rPr>
          <w:rFonts w:eastAsia="仿宋_GB2312"/>
          <w:kern w:val="0"/>
          <w:sz w:val="32"/>
          <w:szCs w:val="32"/>
        </w:rPr>
      </w:pPr>
      <w:r>
        <w:rPr>
          <w:rFonts w:eastAsia="仿宋_GB2312"/>
          <w:kern w:val="0"/>
          <w:sz w:val="32"/>
          <w:szCs w:val="32"/>
        </w:rPr>
        <w:t>（一）税前年收入超过三倍本市职工年平均工资10万以内部分，按其实际年收入的3%资助；</w:t>
      </w:r>
    </w:p>
    <w:p>
      <w:pPr>
        <w:widowControl/>
        <w:spacing w:line="520" w:lineRule="exact"/>
        <w:ind w:firstLine="640" w:firstLineChars="200"/>
        <w:rPr>
          <w:rFonts w:eastAsia="仿宋_GB2312"/>
          <w:kern w:val="0"/>
          <w:sz w:val="32"/>
          <w:szCs w:val="32"/>
        </w:rPr>
      </w:pPr>
      <w:r>
        <w:rPr>
          <w:rFonts w:eastAsia="仿宋_GB2312"/>
          <w:kern w:val="0"/>
          <w:sz w:val="32"/>
          <w:szCs w:val="32"/>
        </w:rPr>
        <w:t>（二）10万及以上、30万以内部分，按5%资助；</w:t>
      </w:r>
    </w:p>
    <w:p>
      <w:pPr>
        <w:widowControl/>
        <w:spacing w:line="520" w:lineRule="exact"/>
        <w:ind w:firstLine="640" w:firstLineChars="200"/>
        <w:rPr>
          <w:rFonts w:eastAsia="仿宋_GB2312"/>
          <w:kern w:val="0"/>
          <w:sz w:val="32"/>
          <w:szCs w:val="32"/>
        </w:rPr>
      </w:pPr>
      <w:r>
        <w:rPr>
          <w:rFonts w:eastAsia="仿宋_GB2312"/>
          <w:kern w:val="0"/>
          <w:sz w:val="32"/>
          <w:szCs w:val="32"/>
        </w:rPr>
        <w:t>（三）30万及以上、50万以内部分，按7%资助；</w:t>
      </w:r>
    </w:p>
    <w:p>
      <w:pPr>
        <w:widowControl/>
        <w:spacing w:line="520" w:lineRule="exact"/>
        <w:ind w:firstLine="640" w:firstLineChars="200"/>
        <w:rPr>
          <w:rFonts w:eastAsia="仿宋_GB2312"/>
          <w:kern w:val="0"/>
          <w:sz w:val="32"/>
          <w:szCs w:val="32"/>
        </w:rPr>
      </w:pPr>
      <w:r>
        <w:rPr>
          <w:rFonts w:eastAsia="仿宋_GB2312"/>
          <w:kern w:val="0"/>
          <w:sz w:val="32"/>
          <w:szCs w:val="32"/>
        </w:rPr>
        <w:t>（四）50万及以上、60万以内部分，按10%资助；</w:t>
      </w:r>
    </w:p>
    <w:p>
      <w:pPr>
        <w:widowControl/>
        <w:spacing w:line="520" w:lineRule="exact"/>
        <w:ind w:firstLine="640" w:firstLineChars="200"/>
        <w:rPr>
          <w:rFonts w:eastAsia="仿宋_GB2312"/>
          <w:kern w:val="0"/>
          <w:sz w:val="32"/>
          <w:szCs w:val="32"/>
        </w:rPr>
      </w:pPr>
      <w:r>
        <w:rPr>
          <w:rFonts w:eastAsia="仿宋_GB2312"/>
          <w:kern w:val="0"/>
          <w:sz w:val="32"/>
          <w:szCs w:val="32"/>
        </w:rPr>
        <w:t>（五）60万及以上、70万以内部分，按20%资助；</w:t>
      </w:r>
    </w:p>
    <w:p>
      <w:pPr>
        <w:widowControl/>
        <w:spacing w:line="520" w:lineRule="exact"/>
        <w:ind w:firstLine="640" w:firstLineChars="200"/>
        <w:rPr>
          <w:rFonts w:eastAsia="仿宋_GB2312"/>
          <w:kern w:val="0"/>
          <w:sz w:val="32"/>
          <w:szCs w:val="32"/>
        </w:rPr>
      </w:pPr>
      <w:r>
        <w:rPr>
          <w:rFonts w:eastAsia="仿宋_GB2312"/>
          <w:kern w:val="0"/>
          <w:sz w:val="32"/>
          <w:szCs w:val="32"/>
        </w:rPr>
        <w:t>（六）70万及以上部分，按30%资助。</w:t>
      </w:r>
    </w:p>
    <w:p>
      <w:pPr>
        <w:widowControl/>
        <w:spacing w:line="520" w:lineRule="exact"/>
        <w:ind w:firstLine="640" w:firstLineChars="200"/>
        <w:rPr>
          <w:rFonts w:eastAsia="仿宋_GB2312"/>
          <w:kern w:val="0"/>
          <w:sz w:val="32"/>
          <w:szCs w:val="32"/>
        </w:rPr>
      </w:pPr>
      <w:r>
        <w:rPr>
          <w:rFonts w:eastAsia="仿宋_GB2312"/>
          <w:kern w:val="0"/>
          <w:sz w:val="32"/>
          <w:szCs w:val="32"/>
        </w:rPr>
        <w:t>以上资助累计总额上限为10万元，贡献特别突出的，可不受限制，实行“一人一策、一事一议”。</w:t>
      </w:r>
    </w:p>
    <w:p>
      <w:pPr>
        <w:widowControl/>
        <w:spacing w:line="520" w:lineRule="exact"/>
        <w:ind w:firstLine="640" w:firstLineChars="200"/>
        <w:rPr>
          <w:rFonts w:eastAsia="黑体"/>
          <w:kern w:val="0"/>
          <w:sz w:val="32"/>
          <w:szCs w:val="32"/>
        </w:rPr>
      </w:pPr>
      <w:r>
        <w:rPr>
          <w:rFonts w:eastAsia="黑体"/>
          <w:kern w:val="0"/>
          <w:sz w:val="32"/>
          <w:szCs w:val="32"/>
        </w:rPr>
        <w:t>第五条 （申请及审核程序）</w:t>
      </w:r>
    </w:p>
    <w:p>
      <w:pPr>
        <w:widowControl/>
        <w:spacing w:line="520" w:lineRule="exact"/>
        <w:ind w:firstLine="640" w:firstLineChars="200"/>
        <w:rPr>
          <w:rFonts w:eastAsia="仿宋_GB2312"/>
          <w:kern w:val="0"/>
          <w:sz w:val="32"/>
          <w:szCs w:val="32"/>
        </w:rPr>
      </w:pPr>
      <w:r>
        <w:rPr>
          <w:rFonts w:eastAsia="仿宋_GB2312"/>
          <w:kern w:val="0"/>
          <w:sz w:val="32"/>
          <w:szCs w:val="32"/>
        </w:rPr>
        <w:t>（一）申请。符合条件的申请人由企业向所属镇、园区（区本级企业向其主管部门）提交下列申请材料：</w:t>
      </w:r>
    </w:p>
    <w:p>
      <w:pPr>
        <w:widowControl/>
        <w:spacing w:line="520" w:lineRule="exact"/>
        <w:ind w:firstLine="630" w:firstLineChars="300"/>
        <w:rPr>
          <w:rFonts w:eastAsia="仿宋_GB2312"/>
          <w:kern w:val="0"/>
          <w:sz w:val="32"/>
          <w:szCs w:val="32"/>
        </w:rPr>
      </w:pPr>
      <w:r>
        <w:rPr>
          <w:szCs w:val="21"/>
        </w:rPr>
        <mc:AlternateContent>
          <mc:Choice Requires="wps">
            <w:drawing>
              <wp:anchor distT="0" distB="0" distL="114300" distR="114300" simplePos="0" relativeHeight="251660288" behindDoc="0" locked="0" layoutInCell="1" allowOverlap="1">
                <wp:simplePos x="0" y="0"/>
                <wp:positionH relativeFrom="column">
                  <wp:posOffset>19003010</wp:posOffset>
                </wp:positionH>
                <wp:positionV relativeFrom="paragraph">
                  <wp:posOffset>30712410</wp:posOffset>
                </wp:positionV>
                <wp:extent cx="635" cy="0"/>
                <wp:effectExtent l="0" t="0" r="0" b="0"/>
                <wp:wrapNone/>
                <wp:docPr id="1" name="墨迹 1"/>
                <wp:cNvGraphicFramePr/>
                <a:graphic xmlns:a="http://schemas.openxmlformats.org/drawingml/2006/main">
                  <a:graphicData uri="http://schemas.microsoft.com/office/word/2010/wordprocessingInk">
                    <mc:AlternateContent xmlns:a14="http://schemas.microsoft.com/office/drawing/2010/main">
                      <mc:Choice Requires="a14">
                        <w14:contentPart bwMode="clr" r:id="rId4">
                          <w14:nvContentPartPr>
                            <w14:cNvPr id="1" name="墨迹 1"/>
                            <w14:cNvContentPartPr/>
                          </w14:nvContentPartPr>
                          <w14:xfrm>
                            <a:off x="0" y="0"/>
                            <a:ext cx="635" cy="0"/>
                          </w14:xfrm>
                        </w14:contentPart>
                      </mc:Choice>
                    </mc:AlternateContent>
                  </a:graphicData>
                </a:graphic>
              </wp:anchor>
            </w:drawing>
          </mc:Choice>
          <mc:Fallback>
            <w:pict>
              <v:shape id="_x0000_s1026" o:spid="_x0000_s1026" style="position:absolute;left:0pt;margin-left:1496.3pt;margin-top:2418.3pt;height:0pt;width:0.05pt;z-index:251660288;mso-width-relative:page;mso-height-relative:page;" filled="t" coordorigin="12277,24077" coordsize="1,1" o:gfxdata="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" path="m12277,24077hal12277,24077e">
                <v:fill on="t" focussize="0,0"/>
                <v:stroke weight="1.5pt" color="#FF0000" opacity="65536f" endcap="round"/>
                <v:imagedata o:title=""/>
                <o:lock v:ext="edit" grouping="t" rotation="t" text="t" aspectratio="t"/>
                <o:ink i="ACcdAgQEAxhIEUT/AUU1GwIArf9GNRsCAK3/Vw0AAAAKBwEPX+oQXg0=&#10;"/>
              </v:shape>
            </w:pict>
          </mc:Fallback>
        </mc:AlternateContent>
      </w:r>
      <w:r>
        <w:rPr>
          <w:szCs w:val="21"/>
        </w:rPr>
        <mc:AlternateContent>
          <mc:Choice Requires="wps">
            <w:drawing>
              <wp:anchor distT="0" distB="0" distL="114300" distR="114300" simplePos="0" relativeHeight="251661312" behindDoc="0" locked="0" layoutInCell="1" allowOverlap="1">
                <wp:simplePos x="0" y="0"/>
                <wp:positionH relativeFrom="column">
                  <wp:posOffset>18398490</wp:posOffset>
                </wp:positionH>
                <wp:positionV relativeFrom="paragraph">
                  <wp:posOffset>31186755</wp:posOffset>
                </wp:positionV>
                <wp:extent cx="635" cy="0"/>
                <wp:effectExtent l="0" t="0" r="0" b="0"/>
                <wp:wrapNone/>
                <wp:docPr id="2" name="墨迹 2"/>
                <wp:cNvGraphicFramePr/>
                <a:graphic xmlns:a="http://schemas.openxmlformats.org/drawingml/2006/main">
                  <a:graphicData uri="http://schemas.microsoft.com/office/word/2010/wordprocessingInk">
                    <mc:AlternateContent xmlns:a14="http://schemas.microsoft.com/office/drawing/2010/main">
                      <mc:Choice Requires="a14">
                        <w14:contentPart bwMode="clr" r:id="rId5">
                          <w14:nvContentPartPr>
                            <w14:cNvPr id="2" name="墨迹 2"/>
                            <w14:cNvContentPartPr/>
                          </w14:nvContentPartPr>
                          <w14:xfrm>
                            <a:off x="0" y="0"/>
                            <a:ext cx="635" cy="0"/>
                          </w14:xfrm>
                        </w14:contentPart>
                      </mc:Choice>
                    </mc:AlternateContent>
                  </a:graphicData>
                </a:graphic>
              </wp:anchor>
            </w:drawing>
          </mc:Choice>
          <mc:Fallback>
            <w:pict>
              <v:shape id="_x0000_s1026" o:spid="_x0000_s1026" style="position:absolute;left:0pt;margin-left:1448.7pt;margin-top:2455.65pt;height:0pt;width:0.05pt;z-index:251661312;mso-width-relative:page;mso-height-relative:page;" filled="t" coordorigin="11906,24368" coordsize="1,1" o:gfxdata="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" path="m11906,24368hal11906,24368e">
                <v:fill on="t" focussize="0,0"/>
                <v:stroke weight="1.5pt" color="#FF0000" opacity="65536f" endcap="round"/>
                <v:imagedata o:title=""/>
                <o:lock v:ext="edit" grouping="t" rotation="t" text="t" aspectratio="t"/>
                <o:ink i="ACcdAgQEAxhIEUT/AUU1GwIArf9GNRsCAK3/Vw0AAAAKBwEPXQQQXzA=&#10;"/>
              </v:shape>
            </w:pict>
          </mc:Fallback>
        </mc:AlternateContent>
      </w:r>
      <w:r>
        <w:rPr>
          <w:rFonts w:eastAsia="仿宋_GB2312"/>
          <w:kern w:val="0"/>
          <w:sz w:val="32"/>
          <w:szCs w:val="32"/>
        </w:rPr>
        <w:t>1、《宝山区企业骨干人才专项激励申请表》一式二份；</w:t>
      </w:r>
    </w:p>
    <w:p>
      <w:pPr>
        <w:widowControl/>
        <w:spacing w:line="520" w:lineRule="exact"/>
        <w:ind w:firstLine="640" w:firstLineChars="200"/>
        <w:rPr>
          <w:rFonts w:eastAsia="仿宋_GB2312"/>
          <w:kern w:val="0"/>
          <w:sz w:val="32"/>
          <w:szCs w:val="32"/>
        </w:rPr>
      </w:pPr>
      <w:r>
        <w:rPr>
          <w:rFonts w:eastAsia="仿宋_GB2312"/>
          <w:kern w:val="0"/>
          <w:sz w:val="32"/>
          <w:szCs w:val="32"/>
        </w:rPr>
        <w:t>2、《宝山区企业骨干人才申请专项激励情况汇总表》一式二份；</w:t>
      </w:r>
    </w:p>
    <w:p>
      <w:pPr>
        <w:widowControl/>
        <w:spacing w:line="520" w:lineRule="exact"/>
        <w:ind w:firstLine="640" w:firstLineChars="200"/>
        <w:rPr>
          <w:rFonts w:eastAsia="仿宋_GB2312"/>
          <w:kern w:val="0"/>
          <w:sz w:val="32"/>
          <w:szCs w:val="32"/>
        </w:rPr>
      </w:pPr>
      <w:r>
        <w:rPr>
          <w:rFonts w:eastAsia="仿宋_GB2312"/>
          <w:kern w:val="0"/>
          <w:sz w:val="32"/>
          <w:szCs w:val="32"/>
        </w:rPr>
        <w:t>3、企业营业执照、组织机构代码证/统一社会信用代码、上一年度纳税证明、跨国公司地区总部认定证书以及其他可证明其符合区域重点扶持企业条件的材料；</w:t>
      </w:r>
    </w:p>
    <w:p>
      <w:pPr>
        <w:widowControl/>
        <w:spacing w:line="520" w:lineRule="exact"/>
        <w:ind w:firstLine="640" w:firstLineChars="200"/>
        <w:rPr>
          <w:rFonts w:eastAsia="仿宋_GB2312"/>
          <w:kern w:val="0"/>
          <w:sz w:val="32"/>
          <w:szCs w:val="32"/>
        </w:rPr>
      </w:pPr>
      <w:r>
        <w:rPr>
          <w:rFonts w:eastAsia="仿宋_GB2312"/>
          <w:kern w:val="0"/>
          <w:sz w:val="32"/>
          <w:szCs w:val="32"/>
        </w:rPr>
        <w:t>4、个人上一年度的个人所得税完税证明、个人社保缴费证明、与企业签订的劳动合同以及银行卡复印件等其他相关材料。</w:t>
      </w:r>
    </w:p>
    <w:p>
      <w:pPr>
        <w:widowControl/>
        <w:spacing w:line="520" w:lineRule="exact"/>
        <w:ind w:firstLine="640" w:firstLineChars="200"/>
        <w:rPr>
          <w:rFonts w:eastAsia="仿宋_GB2312"/>
          <w:kern w:val="0"/>
          <w:sz w:val="32"/>
          <w:szCs w:val="32"/>
        </w:rPr>
      </w:pPr>
      <w:r>
        <w:rPr>
          <w:rFonts w:eastAsia="仿宋_GB2312"/>
          <w:kern w:val="0"/>
          <w:sz w:val="32"/>
          <w:szCs w:val="32"/>
        </w:rPr>
        <w:t>经所属镇、园区或主管部门认定后，汇总报送至区人力资源社会保障局（公务员局）。</w:t>
      </w:r>
    </w:p>
    <w:p>
      <w:pPr>
        <w:widowControl/>
        <w:spacing w:line="520" w:lineRule="exact"/>
        <w:ind w:firstLine="640" w:firstLineChars="200"/>
        <w:rPr>
          <w:rFonts w:eastAsia="仿宋_GB2312"/>
          <w:kern w:val="0"/>
          <w:sz w:val="32"/>
          <w:szCs w:val="32"/>
        </w:rPr>
      </w:pPr>
      <w:r>
        <w:rPr>
          <w:rFonts w:eastAsia="仿宋_GB2312"/>
          <w:kern w:val="0"/>
          <w:sz w:val="32"/>
          <w:szCs w:val="32"/>
        </w:rPr>
        <w:t>（二）审核。区人力资源社会保障局（公务员局）和区经委牵头，会同区发改委、商务委、科委、总工会等主管部门依据评审条件、资助名额等开展审核，并提出拟资助人选及资助金额。</w:t>
      </w:r>
    </w:p>
    <w:p>
      <w:pPr>
        <w:widowControl/>
        <w:spacing w:line="520" w:lineRule="exact"/>
        <w:ind w:firstLine="640" w:firstLineChars="200"/>
        <w:rPr>
          <w:rFonts w:eastAsia="仿宋_GB2312"/>
          <w:kern w:val="0"/>
          <w:sz w:val="32"/>
          <w:szCs w:val="32"/>
        </w:rPr>
      </w:pPr>
      <w:r>
        <w:rPr>
          <w:rFonts w:eastAsia="仿宋_GB2312"/>
          <w:kern w:val="0"/>
          <w:sz w:val="32"/>
          <w:szCs w:val="32"/>
        </w:rPr>
        <w:t>（三）公示。审核通过的拟资助人选名单，由区政府门户网站向社会公示10日。公示无异议的，列入拟资助范围。公示有异议的，经过核实情况后，决定是否列入拟资助范围。</w:t>
      </w:r>
    </w:p>
    <w:p>
      <w:pPr>
        <w:widowControl/>
        <w:spacing w:line="520" w:lineRule="exact"/>
        <w:ind w:firstLine="640" w:firstLineChars="200"/>
        <w:rPr>
          <w:rFonts w:eastAsia="仿宋_GB2312"/>
          <w:kern w:val="0"/>
          <w:sz w:val="32"/>
          <w:szCs w:val="32"/>
        </w:rPr>
      </w:pPr>
      <w:r>
        <w:rPr>
          <w:rFonts w:eastAsia="仿宋_GB2312"/>
          <w:kern w:val="0"/>
          <w:sz w:val="32"/>
          <w:szCs w:val="32"/>
        </w:rPr>
        <w:t>（四）审定。区人力资源社会保障局（公务员局）汇总拟资助人选、金额等信息，报区人才工作领导小组审定。</w:t>
      </w:r>
    </w:p>
    <w:p>
      <w:pPr>
        <w:spacing w:line="520" w:lineRule="exact"/>
        <w:ind w:firstLine="640" w:firstLineChars="200"/>
        <w:rPr>
          <w:rFonts w:eastAsia="黑体"/>
          <w:kern w:val="0"/>
          <w:sz w:val="32"/>
          <w:szCs w:val="32"/>
        </w:rPr>
      </w:pPr>
      <w:r>
        <w:rPr>
          <w:rFonts w:eastAsia="黑体"/>
          <w:kern w:val="0"/>
          <w:sz w:val="32"/>
          <w:szCs w:val="32"/>
        </w:rPr>
        <w:t>第六条 （资金来源及发放）</w:t>
      </w:r>
    </w:p>
    <w:p>
      <w:pPr>
        <w:widowControl/>
        <w:spacing w:line="520" w:lineRule="exact"/>
        <w:ind w:firstLine="640" w:firstLineChars="200"/>
        <w:rPr>
          <w:rFonts w:eastAsia="仿宋_GB2312"/>
          <w:kern w:val="0"/>
          <w:sz w:val="32"/>
          <w:szCs w:val="32"/>
        </w:rPr>
      </w:pPr>
      <w:r>
        <w:rPr>
          <w:rFonts w:eastAsia="仿宋_GB2312"/>
          <w:kern w:val="0"/>
          <w:sz w:val="32"/>
          <w:szCs w:val="32"/>
        </w:rPr>
        <w:t>（一）资助资金实行比例分摊，总额控制，择优轮候的原则。镇、园区所属企业，由区人才发展专项资金负担50%，镇、园区负担50%；区本级企业的，由区人才发展专项资金全额负担。每年初由区人才工作领导小组核定当年用于企业骨干人才专项激励总额和各镇、园区资助额度。各镇、园区按照额度进行推选，超出额度的择优轮候。</w:t>
      </w:r>
    </w:p>
    <w:p>
      <w:pPr>
        <w:widowControl/>
        <w:spacing w:line="520" w:lineRule="exact"/>
        <w:ind w:firstLine="640" w:firstLineChars="200"/>
        <w:rPr>
          <w:rFonts w:eastAsia="仿宋_GB2312"/>
          <w:kern w:val="0"/>
          <w:sz w:val="32"/>
          <w:szCs w:val="32"/>
        </w:rPr>
      </w:pPr>
      <w:r>
        <w:rPr>
          <w:rFonts w:eastAsia="仿宋_GB2312"/>
          <w:kern w:val="0"/>
          <w:sz w:val="32"/>
          <w:szCs w:val="32"/>
        </w:rPr>
        <w:t>（二）资助资金拨付按照《宝山区人才发展专项资金使用管理办法》的规定实施。一年为一个资助周期，资助资金一次性统一发放至申请人个人账户。一个资助周期结束后还需资助的需重新申请。</w:t>
      </w:r>
    </w:p>
    <w:p>
      <w:pPr>
        <w:spacing w:line="520" w:lineRule="exact"/>
        <w:ind w:firstLine="640" w:firstLineChars="200"/>
        <w:rPr>
          <w:rFonts w:eastAsia="黑体"/>
          <w:kern w:val="0"/>
          <w:sz w:val="32"/>
          <w:szCs w:val="32"/>
        </w:rPr>
      </w:pPr>
      <w:r>
        <w:rPr>
          <w:rFonts w:eastAsia="黑体"/>
          <w:kern w:val="0"/>
          <w:sz w:val="32"/>
          <w:szCs w:val="32"/>
        </w:rPr>
        <w:t>第七条 （监督和考核）</w:t>
      </w:r>
    </w:p>
    <w:p>
      <w:pPr>
        <w:widowControl/>
        <w:spacing w:line="520" w:lineRule="exact"/>
        <w:ind w:firstLine="640" w:firstLineChars="200"/>
        <w:rPr>
          <w:rFonts w:eastAsia="仿宋_GB2312"/>
          <w:kern w:val="0"/>
          <w:sz w:val="32"/>
          <w:szCs w:val="32"/>
        </w:rPr>
      </w:pPr>
      <w:r>
        <w:rPr>
          <w:rFonts w:eastAsia="仿宋_GB2312"/>
          <w:kern w:val="0"/>
          <w:sz w:val="32"/>
          <w:szCs w:val="32"/>
        </w:rPr>
        <w:t>（一）区人力资源社会保障局（公务员局）协调相关镇、园区和主管部门对资助工作进行监督和跟踪评定。</w:t>
      </w:r>
    </w:p>
    <w:p>
      <w:pPr>
        <w:widowControl/>
        <w:spacing w:line="520" w:lineRule="exact"/>
        <w:ind w:firstLine="640" w:firstLineChars="200"/>
        <w:rPr>
          <w:rFonts w:eastAsia="仿宋_GB2312"/>
          <w:kern w:val="0"/>
          <w:sz w:val="32"/>
          <w:szCs w:val="32"/>
        </w:rPr>
      </w:pPr>
      <w:r>
        <w:rPr>
          <w:rFonts w:eastAsia="仿宋_GB2312"/>
          <w:kern w:val="0"/>
          <w:sz w:val="32"/>
          <w:szCs w:val="32"/>
        </w:rPr>
        <w:t>（二）对弄虚作假虚报冒领，或以不正当手段骗取本办法规定资助的，将纳入个人征信系统并向社会公布，同时按有关法律和规定严肃处理。</w:t>
      </w:r>
    </w:p>
    <w:p>
      <w:pPr>
        <w:widowControl/>
        <w:spacing w:line="520" w:lineRule="exact"/>
        <w:ind w:firstLine="640" w:firstLineChars="200"/>
        <w:rPr>
          <w:rFonts w:eastAsia="仿宋_GB2312"/>
          <w:kern w:val="0"/>
          <w:sz w:val="32"/>
          <w:szCs w:val="32"/>
        </w:rPr>
      </w:pPr>
      <w:r>
        <w:rPr>
          <w:rFonts w:eastAsia="仿宋_GB2312"/>
          <w:kern w:val="0"/>
          <w:sz w:val="32"/>
          <w:szCs w:val="32"/>
        </w:rPr>
        <w:t>（三）用人单位应认真履行主体责任，对人才专项激励申报的真实性负责。对于用人单位出具虚假证明、提供虚假材料、隐瞒真实情况，或在审核材料时把关不严，且在后续管理中未能尽到责任，违反政策规定的，一经查实，记入单位诚信档案，并取消今后该单位员工申请享受专项激励政策资格。</w:t>
      </w:r>
    </w:p>
    <w:p>
      <w:pPr>
        <w:widowControl/>
        <w:spacing w:line="520" w:lineRule="exact"/>
        <w:ind w:firstLine="640" w:firstLineChars="200"/>
        <w:rPr>
          <w:rFonts w:eastAsia="仿宋_GB2312"/>
          <w:kern w:val="0"/>
          <w:sz w:val="32"/>
          <w:szCs w:val="32"/>
        </w:rPr>
      </w:pPr>
      <w:r>
        <w:rPr>
          <w:rFonts w:eastAsia="仿宋_GB2312"/>
          <w:kern w:val="0"/>
          <w:sz w:val="32"/>
          <w:szCs w:val="32"/>
        </w:rPr>
        <w:t>（四）各镇、园区及各主管部门应充分履行主管职责，按要求落实宣传动员、组织推荐、初步审查以及配套资助等工作要求，相关情况将列入人才工作年度考核。对未按要求进行配套资助的镇、园区，督促整改并取消其下一年度的推荐申报资格。</w:t>
      </w:r>
    </w:p>
    <w:p>
      <w:pPr>
        <w:spacing w:line="520" w:lineRule="exact"/>
        <w:ind w:firstLine="640" w:firstLineChars="200"/>
        <w:rPr>
          <w:rFonts w:eastAsia="黑体"/>
          <w:kern w:val="0"/>
          <w:sz w:val="32"/>
          <w:szCs w:val="32"/>
        </w:rPr>
      </w:pPr>
      <w:r>
        <w:rPr>
          <w:rFonts w:eastAsia="黑体"/>
          <w:kern w:val="0"/>
          <w:sz w:val="32"/>
          <w:szCs w:val="32"/>
        </w:rPr>
        <w:t>第八条  （附则）</w:t>
      </w:r>
    </w:p>
    <w:p>
      <w:pPr>
        <w:widowControl/>
        <w:spacing w:line="520" w:lineRule="exact"/>
        <w:ind w:firstLine="640" w:firstLineChars="200"/>
        <w:rPr>
          <w:kern w:val="0"/>
        </w:rPr>
      </w:pPr>
      <w:r>
        <w:rPr>
          <w:rFonts w:eastAsia="仿宋_GB2312"/>
          <w:kern w:val="0"/>
          <w:sz w:val="32"/>
          <w:szCs w:val="32"/>
        </w:rPr>
        <w:t>本办法自2017年1月1日起施行，有效期至2022年5月31日。</w:t>
      </w:r>
    </w:p>
    <w:p>
      <w:bookmarkStart w:id="0" w:name="_GoBack"/>
      <w:bookmarkEnd w:id="0"/>
    </w:p>
    <w:sectPr>
      <w:pgSz w:w="11906" w:h="16838"/>
      <w:pgMar w:top="1417" w:right="1757" w:bottom="1417"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80BE9"/>
    <w:rsid w:val="31780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ustomXml" Target="ink/ink2.xml"/><Relationship Id="rId4" Type="http://schemas.openxmlformats.org/officeDocument/2006/relationships/customXml" Target="ink/ink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19-12-10T09:21:38"/>
    </inkml:context>
    <inkml:brush xml:id="br0">
      <inkml:brushProperty name="width" value="0.0529169998168945" units="cm"/>
      <inkml:brushProperty name="height" value="0.0529169998168945" units="cm"/>
      <inkml:brushProperty name="color" value="#ff0000"/>
      <inkml:brushProperty name="fitToCurve" value="1"/>
    </inkml:brush>
  </inkml:definitions>
  <inkml:trace contextRef="#ctx0" brushRef="#br0">12277 24077</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19-12-10T09:21:38"/>
    </inkml:context>
    <inkml:brush xml:id="br0">
      <inkml:brushProperty name="width" value="0.0529169998168945" units="cm"/>
      <inkml:brushProperty name="height" value="0.0529169998168945" units="cm"/>
      <inkml:brushProperty name="color" value="#ff0000"/>
      <inkml:brushProperty name="fitToCurve" value="1"/>
    </inkml:brush>
  </inkml:definitions>
  <inkml:trace contextRef="#ctx0" brushRef="#br0">11906 24368</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2019-12-10T01:20:00Z</dcterms:created>
  <dc:creator>Suzy</dc:creator>
  <cp:lastModifiedBy>Suzy</cp:lastModifiedBy>
  <dcterms:modified xsi:type="dcterms:W3CDTF">2019-12-10T01:22:10Z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